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bookmarkStart w:id="0" w:name="_Hlk206089692"/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37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center"/>
        <w:rPr>
          <w:rFonts w:hint="eastAsia" w:ascii="黑体" w:hAnsi="Times New Roman" w:eastAsia="黑体"/>
          <w:b/>
          <w:bCs/>
          <w:color w:val="000000"/>
          <w:sz w:val="36"/>
        </w:rPr>
      </w:pPr>
    </w:p>
    <w:p>
      <w:pPr>
        <w:spacing w:line="360" w:lineRule="auto"/>
        <w:jc w:val="center"/>
        <w:rPr>
          <w:rFonts w:ascii="黑体" w:hAnsi="Times New Roman" w:eastAsia="黑体"/>
          <w:b/>
          <w:bCs/>
          <w:color w:val="FF0000"/>
          <w:sz w:val="36"/>
        </w:rPr>
      </w:pPr>
      <w:r>
        <w:rPr>
          <w:rFonts w:hint="eastAsia" w:ascii="黑体" w:hAnsi="Times New Roman" w:eastAsia="黑体"/>
          <w:b/>
          <w:bCs/>
          <w:color w:val="000000"/>
          <w:sz w:val="36"/>
        </w:rPr>
        <w:t>露兜簕茎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" w:name="_GoBack"/>
      <w:r>
        <w:rPr>
          <w:rFonts w:hint="default" w:ascii="Times New Roman" w:hAnsi="Times New Roman" w:eastAsia="黑体" w:cs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Ludoulejing</w:t>
      </w:r>
    </w:p>
    <w:bookmarkEnd w:id="3"/>
    <w:p>
      <w:pPr>
        <w:spacing w:line="360" w:lineRule="auto"/>
        <w:jc w:val="center"/>
        <w:rPr>
          <w:rFonts w:hint="default" w:ascii="Times New Roman" w:hAnsi="Times New Roman" w:eastAsia="黑体"/>
          <w:b/>
          <w:sz w:val="28"/>
          <w:lang w:val="en-US" w:eastAsia="zh-CN"/>
        </w:rPr>
      </w:pPr>
      <w:r>
        <w:rPr>
          <w:rFonts w:hint="eastAsia" w:ascii="Times New Roman" w:hAnsi="Times New Roman" w:eastAsia="黑体"/>
          <w:b/>
          <w:bCs/>
          <w:sz w:val="28"/>
        </w:rPr>
        <w:t>PANDAN</w:t>
      </w:r>
      <w:r>
        <w:rPr>
          <w:rFonts w:hint="eastAsia" w:ascii="Times New Roman" w:hAnsi="Times New Roman" w:eastAsia="黑体"/>
          <w:b/>
          <w:bCs/>
          <w:sz w:val="28"/>
          <w:lang w:val="en-US" w:eastAsia="zh-CN"/>
        </w:rPr>
        <w:t>I</w:t>
      </w:r>
      <w:r>
        <w:rPr>
          <w:rFonts w:hint="eastAsia" w:ascii="Times New Roman" w:hAnsi="Times New Roman" w:eastAsia="黑体"/>
          <w:b/>
          <w:bCs/>
          <w:sz w:val="28"/>
        </w:rPr>
        <w:t xml:space="preserve"> </w:t>
      </w:r>
      <w:r>
        <w:rPr>
          <w:rFonts w:hint="eastAsia" w:ascii="Times New Roman" w:hAnsi="Times New Roman" w:eastAsia="黑体"/>
          <w:b/>
          <w:bCs/>
          <w:sz w:val="28"/>
          <w:lang w:val="en-US" w:eastAsia="zh-CN"/>
        </w:rPr>
        <w:t>CAULIS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bookmarkStart w:id="1" w:name="_Hlk202735630"/>
      <w:r>
        <w:rPr>
          <w:rFonts w:hint="default" w:ascii="Times New Roman" w:hAnsi="Times New Roman" w:eastAsia="宋体" w:cs="Times New Roman"/>
          <w:sz w:val="24"/>
          <w:szCs w:val="24"/>
        </w:rPr>
        <w:t>本品为露兜树科植物露兜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树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Pandanus tectorius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sz w:val="24"/>
          <w:szCs w:val="24"/>
        </w:rPr>
        <w:t>Parkinson</w:t>
      </w:r>
      <w:r>
        <w:rPr>
          <w:rFonts w:hint="default" w:ascii="Times New Roman" w:hAnsi="Times New Roman" w:eastAsia="宋体" w:cs="Times New Roman"/>
          <w:sz w:val="24"/>
          <w:szCs w:val="24"/>
        </w:rPr>
        <w:t>的干燥茎。全年可采，</w:t>
      </w:r>
      <w:bookmarkEnd w:id="1"/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除去杂质，切块段，</w:t>
      </w:r>
      <w:r>
        <w:rPr>
          <w:rFonts w:hint="default" w:ascii="Times New Roman" w:hAnsi="Times New Roman" w:eastAsia="宋体" w:cs="Times New Roman"/>
          <w:sz w:val="24"/>
          <w:szCs w:val="24"/>
        </w:rPr>
        <w:t>干燥。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4"/>
        </w:rPr>
        <w:t>本品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呈</w:t>
      </w:r>
      <w:r>
        <w:rPr>
          <w:rFonts w:hint="default" w:ascii="Times New Roman" w:hAnsi="Times New Roman" w:eastAsia="宋体" w:cs="Times New Roman"/>
          <w:sz w:val="24"/>
          <w:szCs w:val="24"/>
        </w:rPr>
        <w:t>类圆柱形或不规则块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段</w:t>
      </w:r>
      <w:r>
        <w:rPr>
          <w:rFonts w:hint="default" w:ascii="Times New Roman" w:hAnsi="Times New Roman" w:eastAsia="宋体" w:cs="Times New Roman"/>
          <w:sz w:val="24"/>
          <w:szCs w:val="24"/>
        </w:rPr>
        <w:t>状，大小不等。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表面灰黄色，具明显的环纹、纵皱纹及点状根痕，有的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可见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残存毛状叶基。表皮薄而浮离，易剥落，脱皮处显棕黄色至棕色。质轻而韧，不易折断，断面纤维性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强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。气微</w:t>
      </w:r>
      <w:r>
        <w:rPr>
          <w:rFonts w:hint="default" w:ascii="Times New Roman" w:hAnsi="Times New Roman" w:eastAsia="宋体" w:cs="Times New Roman"/>
          <w:sz w:val="24"/>
          <w:szCs w:val="24"/>
        </w:rPr>
        <w:t>，味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淡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（1）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本品</w:t>
      </w:r>
      <w:r>
        <w:rPr>
          <w:rFonts w:hint="default" w:ascii="Times New Roman" w:hAnsi="Times New Roman" w:eastAsia="宋体" w:cs="Times New Roman"/>
          <w:color w:val="000000"/>
          <w:sz w:val="24"/>
        </w:rPr>
        <w:t>粉末黄</w:t>
      </w:r>
      <w:r>
        <w:rPr>
          <w:rFonts w:hint="default" w:ascii="Times New Roman" w:hAnsi="Times New Roman" w:eastAsia="宋体" w:cs="Times New Roman"/>
          <w:color w:val="000000"/>
          <w:sz w:val="24"/>
          <w:lang w:val="en-US" w:eastAsia="zh-CN"/>
        </w:rPr>
        <w:t>棕</w:t>
      </w:r>
      <w:r>
        <w:rPr>
          <w:rFonts w:hint="default" w:ascii="Times New Roman" w:hAnsi="Times New Roman" w:eastAsia="宋体" w:cs="Times New Roman"/>
          <w:color w:val="000000"/>
          <w:sz w:val="24"/>
        </w:rPr>
        <w:t>色。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木栓细胞多角形，壁略厚。梯纹导管直径27～85μm；螺纹导管直径25～68μm。草酸钙针晶长25～100μm，散在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或成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束存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于黏液细胞中。纤维成束，直径16～37μm，壁厚，微木化，周围细胞含草酸钙方晶，形成晶纤维。石细胞类长方形或不规则形，直径28～74μm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（2）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取本品粉末1g，加乙醇50m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，超声处理20分钟，滤过，滤液蒸干，残渣加乙醇2ml使溶解，作为供试品溶液。另取露兜簕茎对照药材1g，同法制成对照药材溶液。</w:t>
      </w:r>
      <w:r>
        <w:rPr>
          <w:rFonts w:hint="default" w:ascii="Times New Roman" w:hAnsi="Times New Roman" w:eastAsia="宋体" w:cs="Times New Roman"/>
          <w:sz w:val="24"/>
          <w:szCs w:val="24"/>
        </w:rPr>
        <w:t>照薄层色谱法（《中国药典》2025年版通则0502）试验，吸取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上述两种</w:t>
      </w:r>
      <w:r>
        <w:rPr>
          <w:rFonts w:hint="default" w:ascii="Times New Roman" w:hAnsi="Times New Roman" w:eastAsia="宋体" w:cs="Times New Roman"/>
          <w:sz w:val="24"/>
          <w:szCs w:val="24"/>
        </w:rPr>
        <w:t>溶液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各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3～5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μ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，分别点于同一硅胶G板上，以环己烷-乙酸乙酯（6:1）为展开剂，展开，取出，晾干，置紫外光灯（365nm）下检视。供试品色谱中，在与对照药材色谱相应的位置上，显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>相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同颜色的荧光斑点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不得过13.0%（《中国药典》2025年版通则0832第二法）。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eastAsia="宋体" w:cs="Times New Roman"/>
          <w:color w:val="000000"/>
          <w:sz w:val="24"/>
        </w:rPr>
        <w:t xml:space="preserve">  不得过1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sz w:val="24"/>
        </w:rPr>
        <w:t>.0%（</w:t>
      </w:r>
      <w:bookmarkStart w:id="2" w:name="OLE_LINK120"/>
      <w:r>
        <w:rPr>
          <w:rFonts w:hint="default" w:ascii="Times New Roman" w:hAnsi="Times New Roman" w:eastAsia="宋体" w:cs="Times New Roman"/>
          <w:color w:val="000000"/>
          <w:sz w:val="24"/>
        </w:rPr>
        <w:t>《中国药典》2025年版通则230</w:t>
      </w:r>
      <w:bookmarkEnd w:id="2"/>
      <w:r>
        <w:rPr>
          <w:rFonts w:hint="default" w:ascii="Times New Roman" w:hAnsi="Times New Roman" w:eastAsia="宋体" w:cs="Times New Roman"/>
          <w:color w:val="000000"/>
          <w:sz w:val="24"/>
        </w:rPr>
        <w:t>2）。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照水溶性浸出物测定法（《中国药典》2025年版通则2201）项下的热浸法测定，不得少于15.0</w:t>
      </w:r>
      <w:r>
        <w:rPr>
          <w:rFonts w:hint="default" w:ascii="Times New Roman" w:hAnsi="Times New Roman" w:eastAsia="宋体" w:cs="Times New Roman"/>
          <w:sz w:val="24"/>
        </w:rPr>
        <w:t>%</w:t>
      </w:r>
      <w:r>
        <w:rPr>
          <w:rFonts w:hint="default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eastAsia="宋体" w:cs="Times New Roman"/>
          <w:bCs/>
          <w:color w:val="000000"/>
          <w:sz w:val="24"/>
          <w:lang w:val="en-US" w:eastAsia="zh-CN"/>
        </w:rPr>
        <w:t>辛、</w:t>
      </w:r>
      <w:r>
        <w:rPr>
          <w:rFonts w:ascii="Times New Roman" w:hAnsi="Times New Roman" w:eastAsia="宋体" w:cs="Times New Roman"/>
          <w:bCs/>
          <w:color w:val="000000"/>
          <w:sz w:val="24"/>
        </w:rPr>
        <w:t>淡，凉。归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lang w:val="en-US" w:eastAsia="zh-CN"/>
        </w:rPr>
        <w:t>肺、</w:t>
      </w:r>
      <w:r>
        <w:rPr>
          <w:rFonts w:ascii="Times New Roman" w:hAnsi="Times New Roman" w:eastAsia="宋体" w:cs="Times New Roman"/>
          <w:bCs/>
          <w:color w:val="000000"/>
          <w:sz w:val="24"/>
        </w:rPr>
        <w:t>肝、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lang w:val="en-US" w:eastAsia="zh-CN"/>
        </w:rPr>
        <w:t>肾</w:t>
      </w:r>
      <w:r>
        <w:rPr>
          <w:rFonts w:ascii="Times New Roman" w:hAnsi="Times New Roman" w:eastAsia="宋体" w:cs="Times New Roman"/>
          <w:bCs/>
          <w:color w:val="000000"/>
          <w:sz w:val="24"/>
        </w:rPr>
        <w:t>经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疏风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lang w:val="en-US" w:eastAsia="zh-CN"/>
        </w:rPr>
        <w:t>解表，</w:t>
      </w:r>
      <w:r>
        <w:rPr>
          <w:rFonts w:ascii="Times New Roman" w:hAnsi="Times New Roman" w:eastAsia="宋体" w:cs="Times New Roman"/>
          <w:bCs/>
          <w:sz w:val="24"/>
          <w:szCs w:val="24"/>
        </w:rPr>
        <w:t>清热解毒，利湿消肿。用于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风热</w:t>
      </w:r>
      <w:r>
        <w:rPr>
          <w:rFonts w:ascii="Times New Roman" w:hAnsi="Times New Roman" w:eastAsia="宋体" w:cs="Times New Roman"/>
          <w:bCs/>
          <w:sz w:val="24"/>
          <w:szCs w:val="24"/>
        </w:rPr>
        <w:t>感冒，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湿热淋证，风水</w:t>
      </w:r>
      <w:r>
        <w:rPr>
          <w:rFonts w:ascii="Times New Roman" w:hAnsi="Times New Roman" w:eastAsia="宋体" w:cs="Times New Roman"/>
          <w:bCs/>
          <w:sz w:val="24"/>
          <w:szCs w:val="24"/>
        </w:rPr>
        <w:t>水肿，痈肿疮毒，风湿痹痛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pacing w:line="360" w:lineRule="auto"/>
        <w:ind w:firstLine="42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ascii="Times New Roman" w:hAnsi="Times New Roman" w:eastAsia="宋体" w:cs="Times New Roman"/>
          <w:bCs/>
          <w:sz w:val="24"/>
          <w:szCs w:val="24"/>
        </w:rPr>
        <w:t>15～30g。外用适量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lang w:val="en-US" w:eastAsia="zh-CN"/>
        </w:rPr>
        <w:t>研末调涂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2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注意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default" w:ascii="Times New Roman" w:hAnsi="Calibri" w:eastAsia="宋体" w:cs="Times New Roman"/>
          <w:color w:val="000000"/>
          <w:sz w:val="24"/>
          <w:lang w:val="en-US" w:eastAsia="zh-CN"/>
        </w:rPr>
        <w:t>孕妇慎用。</w:t>
      </w:r>
    </w:p>
    <w:p>
      <w:pPr>
        <w:spacing w:line="360" w:lineRule="auto"/>
        <w:ind w:firstLine="42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eastAsia="宋体" w:cs="Times New Roman"/>
          <w:color w:val="000000"/>
          <w:sz w:val="24"/>
        </w:rPr>
        <w:t>置干燥处。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47"/>
    <w:rsid w:val="00066CF9"/>
    <w:rsid w:val="00071960"/>
    <w:rsid w:val="00085527"/>
    <w:rsid w:val="000F5D85"/>
    <w:rsid w:val="00112872"/>
    <w:rsid w:val="00183B09"/>
    <w:rsid w:val="00193ECA"/>
    <w:rsid w:val="001B4E26"/>
    <w:rsid w:val="001D7832"/>
    <w:rsid w:val="00237A0A"/>
    <w:rsid w:val="002427C5"/>
    <w:rsid w:val="00276A25"/>
    <w:rsid w:val="002B2D20"/>
    <w:rsid w:val="003373DB"/>
    <w:rsid w:val="003E301D"/>
    <w:rsid w:val="004323EB"/>
    <w:rsid w:val="0045545B"/>
    <w:rsid w:val="004C73BE"/>
    <w:rsid w:val="004F0847"/>
    <w:rsid w:val="00543646"/>
    <w:rsid w:val="005533C3"/>
    <w:rsid w:val="005561B9"/>
    <w:rsid w:val="005B359E"/>
    <w:rsid w:val="005E1A55"/>
    <w:rsid w:val="00601608"/>
    <w:rsid w:val="00611C2C"/>
    <w:rsid w:val="00635379"/>
    <w:rsid w:val="006679A2"/>
    <w:rsid w:val="006737DF"/>
    <w:rsid w:val="006C3021"/>
    <w:rsid w:val="006D0762"/>
    <w:rsid w:val="006E72DC"/>
    <w:rsid w:val="007105B1"/>
    <w:rsid w:val="00720B5F"/>
    <w:rsid w:val="007C5879"/>
    <w:rsid w:val="007D2D7B"/>
    <w:rsid w:val="007E5E50"/>
    <w:rsid w:val="007F6832"/>
    <w:rsid w:val="008926E8"/>
    <w:rsid w:val="008B09DC"/>
    <w:rsid w:val="00954547"/>
    <w:rsid w:val="00966927"/>
    <w:rsid w:val="00991CBB"/>
    <w:rsid w:val="009B4AA5"/>
    <w:rsid w:val="009C17F9"/>
    <w:rsid w:val="00A44CCF"/>
    <w:rsid w:val="00A70F47"/>
    <w:rsid w:val="00AA467A"/>
    <w:rsid w:val="00AA5657"/>
    <w:rsid w:val="00AD1CDD"/>
    <w:rsid w:val="00B42DCC"/>
    <w:rsid w:val="00B741BF"/>
    <w:rsid w:val="00BC20D7"/>
    <w:rsid w:val="00BD4C9E"/>
    <w:rsid w:val="00BF404B"/>
    <w:rsid w:val="00C03F46"/>
    <w:rsid w:val="00C270AD"/>
    <w:rsid w:val="00C31ADD"/>
    <w:rsid w:val="00C52434"/>
    <w:rsid w:val="00C578EE"/>
    <w:rsid w:val="00C65B80"/>
    <w:rsid w:val="00C70C3E"/>
    <w:rsid w:val="00C72411"/>
    <w:rsid w:val="00C72D76"/>
    <w:rsid w:val="00CB1D28"/>
    <w:rsid w:val="00CB475D"/>
    <w:rsid w:val="00CC75EB"/>
    <w:rsid w:val="00CD46A2"/>
    <w:rsid w:val="00D0643D"/>
    <w:rsid w:val="00D44DDF"/>
    <w:rsid w:val="00D8005C"/>
    <w:rsid w:val="00DD084C"/>
    <w:rsid w:val="00DD7830"/>
    <w:rsid w:val="00DE10ED"/>
    <w:rsid w:val="00E814CE"/>
    <w:rsid w:val="00E93502"/>
    <w:rsid w:val="00EC2629"/>
    <w:rsid w:val="00ED41CC"/>
    <w:rsid w:val="00EE1328"/>
    <w:rsid w:val="00F76BD7"/>
    <w:rsid w:val="00FD282E"/>
    <w:rsid w:val="0E0232D2"/>
    <w:rsid w:val="260009C4"/>
    <w:rsid w:val="39FA6CDA"/>
    <w:rsid w:val="3ADE21F2"/>
    <w:rsid w:val="4D9D1C56"/>
    <w:rsid w:val="546732AF"/>
    <w:rsid w:val="5F7F16DC"/>
    <w:rsid w:val="625008DB"/>
    <w:rsid w:val="767F4E06"/>
    <w:rsid w:val="779202B8"/>
    <w:rsid w:val="B2DF04AC"/>
    <w:rsid w:val="FD73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0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99"/>
  </w:style>
  <w:style w:type="character" w:customStyle="1" w:styleId="13">
    <w:name w:val="批注主题 字符"/>
    <w:basedOn w:val="12"/>
    <w:link w:val="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670</Words>
  <Characters>790</Characters>
  <Lines>9</Lines>
  <Paragraphs>2</Paragraphs>
  <TotalTime>0</TotalTime>
  <ScaleCrop>false</ScaleCrop>
  <LinksUpToDate>false</LinksUpToDate>
  <CharactersWithSpaces>797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2025-09-16T07:53:00Z</dcterms:created>
  <dc:creator>振东 丘</dc:creator>
  <cp:lastModifiedBy>gxxc</cp:lastModifiedBy>
  <cp:lastPrinted>2025-10-28T23:40:00Z</cp:lastPrinted>
  <dcterms:modified xsi:type="dcterms:W3CDTF">2025-12-25T10:43:38Z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90CDC9C66094455FA71FD36AE1414BB6_13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